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14:textFill>
            <w14:solidFill>
              <w14:schemeClr w14:val="tx1"/>
            </w14:solidFill>
          </w14:textFill>
        </w:rPr>
        <w:t>附件1</w:t>
      </w:r>
    </w:p>
    <w:p>
      <w:pPr>
        <w:pStyle w:val="2"/>
        <w:rPr>
          <w:rFonts w:hint="default"/>
        </w:rPr>
      </w:pP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省级农业高新技术产业开发区建设发展规划</w:t>
      </w:r>
    </w:p>
    <w:p>
      <w:pPr>
        <w:adjustRightInd/>
        <w:snapToGrid w:val="0"/>
        <w:spacing w:line="240" w:lineRule="auto"/>
        <w:ind w:firstLine="0" w:firstLineChars="0"/>
        <w:jc w:val="center"/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Cs/>
          <w:spacing w:val="-20"/>
          <w:kern w:val="0"/>
          <w:sz w:val="44"/>
          <w:szCs w:val="44"/>
          <w:lang w:val="en-US" w:eastAsia="zh-CN"/>
        </w:rPr>
        <w:t>编写提纲</w:t>
      </w:r>
    </w:p>
    <w:p>
      <w:pPr>
        <w:topLinePunct/>
        <w:ind w:firstLine="616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一、建设意义与必要性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二、现有基础和发展环境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三、建设思路和目标定位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四、空间布局与功能规划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五、主要任务与预期目标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六、组织管理与运行机制</w:t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七、投资估算、资金筹措与效益分析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八、建设进度与安排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>
      <w:pPr>
        <w:numPr>
          <w:ilvl w:val="0"/>
          <w:numId w:val="1"/>
        </w:numPr>
        <w:adjustRightInd/>
        <w:snapToGrid/>
        <w:ind w:firstLine="696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配套政策与保障措施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0D6530"/>
    <w:multiLevelType w:val="singleLevel"/>
    <w:tmpl w:val="EB0D6530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D38C3"/>
    <w:rsid w:val="244D38C3"/>
    <w:rsid w:val="6D042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2021-10-12T11:18:00Z</dcterms:created>
  <dc:creator>10795</dc:creator>
  <cp:lastModifiedBy>10795</cp:lastModifiedBy>
  <dcterms:modified xsi:type="dcterms:W3CDTF">2021-10-12T11:18:50Z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5A7E7CB741F9467DA5CB2B60524EA069</vt:lpwstr>
  </property>
</Properties>
</file>